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315629</w:t>
      </w:r>
      <w:bookmarkStart w:id="6" w:name="_GoBack"/>
      <w:bookmarkEnd w:id="6"/>
    </w:p>
    <w:p>
      <w:pPr>
        <w:pStyle w:val="73"/>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UE and BS channel raster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5.4.1.1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bookmarkStart w:id="2" w:name="OLE_LINK25"/>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revised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and BS</w:t>
      </w:r>
      <w:r>
        <w:rPr>
          <w:rFonts w:hint="eastAsia"/>
          <w:i w:val="0"/>
          <w:iCs w:val="0"/>
          <w:sz w:val="20"/>
          <w:szCs w:val="20"/>
          <w:lang w:val="en-US" w:eastAsia="zh-CN"/>
        </w:rPr>
        <w:t xml:space="preserve"> 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textAlignment w:val="baseline"/>
            </w:pPr>
            <w:r>
              <w:t>The objectives of the work item are the following:</w:t>
            </w:r>
          </w:p>
          <w:p>
            <w:pPr>
              <w:numPr>
                <w:ilvl w:val="0"/>
                <w:numId w:val="8"/>
              </w:numPr>
              <w:overflowPunct w:val="0"/>
              <w:autoSpaceDE w:val="0"/>
              <w:autoSpaceDN w:val="0"/>
              <w:adjustRightInd w:val="0"/>
              <w:spacing w:after="180"/>
              <w:textAlignment w:val="baseline"/>
            </w:pPr>
            <w: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pPr>
            <w:r>
              <w:t>Changes to BS channel raster can be considered if required [RAN4].</w:t>
            </w:r>
          </w:p>
          <w:p>
            <w:pPr>
              <w:numPr>
                <w:ilvl w:val="0"/>
                <w:numId w:val="10"/>
              </w:numPr>
              <w:overflowPunct w:val="0"/>
              <w:autoSpaceDE w:val="0"/>
              <w:autoSpaceDN w:val="0"/>
              <w:adjustRightInd w:val="0"/>
              <w:spacing w:after="180"/>
              <w:textAlignment w:val="baseline"/>
            </w:pPr>
            <w: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pPr>
            <w:r>
              <w:t>RAN4 is to identify the release(s) of the core specifications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rPr>
              <w:t>NOTE: Changes to channel raster need to be compliant with the definition of global channel raster in RAN4 specification.</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bookmarkEnd w:id="2"/>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0"/>
                <w:numId w:val="12"/>
              </w:numPr>
              <w:overflowPunct w:val="0"/>
              <w:autoSpaceDE w:val="0"/>
              <w:autoSpaceDN w:val="0"/>
              <w:adjustRightInd w:val="0"/>
              <w:spacing w:after="180"/>
              <w:textAlignment w:val="baseline"/>
              <w:rPr>
                <w:sz w:val="20"/>
                <w:szCs w:val="20"/>
              </w:rPr>
            </w:pPr>
            <w:bookmarkStart w:id="3" w:name="OLE_LINK66"/>
            <w:bookmarkStart w:id="4" w:name="OLE_LINK23"/>
            <w:bookmarkStart w:id="5" w:name="OLE_LINK50"/>
            <w:r>
              <w:rPr>
                <w:sz w:val="20"/>
                <w:szCs w:val="20"/>
              </w:rPr>
              <w:t>Approaches / Alternatives</w:t>
            </w:r>
          </w:p>
          <w:p>
            <w:pPr>
              <w:overflowPunct w:val="0"/>
              <w:autoSpaceDE w:val="0"/>
              <w:autoSpaceDN w:val="0"/>
              <w:adjustRightInd w:val="0"/>
              <w:spacing w:after="180"/>
              <w:ind w:left="426"/>
              <w:textAlignment w:val="baseline"/>
              <w:rPr>
                <w:iCs/>
                <w:sz w:val="20"/>
                <w:szCs w:val="20"/>
              </w:rPr>
            </w:pPr>
            <w:r>
              <w:rPr>
                <w:iCs/>
                <w:sz w:val="20"/>
                <w:szCs w:val="20"/>
              </w:rPr>
              <w:t xml:space="preserve">One of the following approaches/alternatives to be chosen: </w:t>
            </w:r>
          </w:p>
          <w:p>
            <w:pPr>
              <w:pStyle w:val="34"/>
              <w:numPr>
                <w:ilvl w:val="1"/>
                <w:numId w:val="13"/>
              </w:numPr>
              <w:overflowPunct w:val="0"/>
              <w:autoSpaceDE w:val="0"/>
              <w:autoSpaceDN w:val="0"/>
              <w:adjustRightInd w:val="0"/>
              <w:spacing w:after="120"/>
              <w:ind w:left="1440" w:firstLineChars="0"/>
              <w:textAlignment w:val="baseline"/>
              <w:rPr>
                <w:sz w:val="20"/>
                <w:szCs w:val="20"/>
                <w:lang w:eastAsia="zh-CN"/>
              </w:rPr>
            </w:pPr>
            <w:r>
              <w:rPr>
                <w:iCs/>
                <w:sz w:val="20"/>
                <w:szCs w:val="20"/>
              </w:rPr>
              <w:t>Approach 1: Specify a new channel raster</w:t>
            </w:r>
          </w:p>
          <w:p>
            <w:pPr>
              <w:overflowPunct w:val="0"/>
              <w:autoSpaceDE w:val="0"/>
              <w:autoSpaceDN w:val="0"/>
              <w:adjustRightInd w:val="0"/>
              <w:spacing w:after="120"/>
              <w:ind w:left="1020" w:firstLine="420"/>
              <w:textAlignment w:val="baseline"/>
              <w:rPr>
                <w:iCs/>
                <w:sz w:val="20"/>
                <w:szCs w:val="20"/>
              </w:rPr>
            </w:pPr>
            <w:r>
              <w:rPr>
                <w:iCs/>
                <w:sz w:val="20"/>
                <w:szCs w:val="20"/>
              </w:rPr>
              <w:t>The new channel raster step size: 10 kHz</w:t>
            </w:r>
          </w:p>
          <w:p>
            <w:pPr>
              <w:overflowPunct w:val="0"/>
              <w:autoSpaceDE w:val="0"/>
              <w:autoSpaceDN w:val="0"/>
              <w:adjustRightInd w:val="0"/>
              <w:spacing w:after="120"/>
              <w:ind w:left="1020" w:firstLine="420"/>
              <w:textAlignment w:val="baseline"/>
              <w:rPr>
                <w:iCs/>
                <w:sz w:val="20"/>
                <w:szCs w:val="20"/>
              </w:rPr>
            </w:pPr>
          </w:p>
          <w:p>
            <w:pPr>
              <w:pStyle w:val="34"/>
              <w:numPr>
                <w:ilvl w:val="1"/>
                <w:numId w:val="13"/>
              </w:numPr>
              <w:overflowPunct w:val="0"/>
              <w:autoSpaceDE w:val="0"/>
              <w:autoSpaceDN w:val="0"/>
              <w:adjustRightInd w:val="0"/>
              <w:spacing w:after="120"/>
              <w:ind w:left="1440" w:firstLineChars="0"/>
              <w:textAlignment w:val="baseline"/>
              <w:rPr>
                <w:sz w:val="20"/>
                <w:szCs w:val="20"/>
                <w:lang w:eastAsia="zh-CN"/>
              </w:rPr>
            </w:pPr>
            <w:r>
              <w:rPr>
                <w:iCs/>
                <w:sz w:val="20"/>
                <w:szCs w:val="20"/>
              </w:rPr>
              <w:t xml:space="preserve">Approach 2: Do not specify new channel raster entries </w:t>
            </w:r>
          </w:p>
          <w:p>
            <w:pPr>
              <w:pStyle w:val="34"/>
              <w:numPr>
                <w:ilvl w:val="2"/>
                <w:numId w:val="13"/>
              </w:numPr>
              <w:overflowPunct w:val="0"/>
              <w:autoSpaceDE w:val="0"/>
              <w:autoSpaceDN w:val="0"/>
              <w:adjustRightInd w:val="0"/>
              <w:spacing w:after="120"/>
              <w:ind w:firstLineChars="0"/>
              <w:textAlignment w:val="baseline"/>
              <w:rPr>
                <w:sz w:val="20"/>
                <w:szCs w:val="20"/>
                <w:lang w:eastAsia="zh-CN"/>
              </w:rPr>
            </w:pPr>
            <w:r>
              <w:rPr>
                <w:iCs/>
                <w:sz w:val="20"/>
                <w:szCs w:val="20"/>
              </w:rPr>
              <w:t>Alternative 1</w:t>
            </w:r>
          </w:p>
          <w:p>
            <w:pPr>
              <w:pStyle w:val="34"/>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Clarify in clause 5.4.2.2 of both the BS and UE specifications that the “RF channel” is mapped to the channel raster at the centre of a carrier grid of a serving cell for at least one numerology as advertised in SIB1.</w:t>
            </w:r>
          </w:p>
          <w:p>
            <w:pPr>
              <w:pStyle w:val="34"/>
              <w:numPr>
                <w:ilvl w:val="2"/>
                <w:numId w:val="14"/>
              </w:numPr>
              <w:overflowPunct w:val="0"/>
              <w:autoSpaceDE w:val="0"/>
              <w:autoSpaceDN w:val="0"/>
              <w:adjustRightInd w:val="0"/>
              <w:spacing w:after="120"/>
              <w:ind w:firstLine="34" w:firstLineChars="0"/>
              <w:textAlignment w:val="baseline"/>
              <w:rPr>
                <w:iCs/>
                <w:sz w:val="20"/>
                <w:szCs w:val="20"/>
              </w:rPr>
            </w:pPr>
            <w:r>
              <w:rPr>
                <w:iCs/>
                <w:sz w:val="20"/>
                <w:szCs w:val="20"/>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pPr>
              <w:pStyle w:val="34"/>
              <w:numPr>
                <w:ilvl w:val="2"/>
                <w:numId w:val="13"/>
              </w:numPr>
              <w:overflowPunct w:val="0"/>
              <w:autoSpaceDE w:val="0"/>
              <w:autoSpaceDN w:val="0"/>
              <w:adjustRightInd w:val="0"/>
              <w:spacing w:after="120"/>
              <w:ind w:firstLineChars="0"/>
              <w:textAlignment w:val="baseline"/>
              <w:rPr>
                <w:iCs/>
                <w:sz w:val="20"/>
                <w:szCs w:val="20"/>
              </w:rPr>
            </w:pPr>
            <w:r>
              <w:rPr>
                <w:iCs/>
                <w:sz w:val="20"/>
                <w:szCs w:val="20"/>
              </w:rPr>
              <w:t xml:space="preserve">Alternative 3: </w:t>
            </w:r>
          </w:p>
          <w:p>
            <w:pPr>
              <w:pStyle w:val="34"/>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 xml:space="preserve">For operating bands with a 100 kHz channel raster, the UE can signal a capability to support a UE specific channel BW that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consists of a contiguous subset of RBs from SCS-SpecificCarrier in SIB1 and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 xml:space="preserve">is a maximum transmission BW configuration </w:t>
            </w:r>
          </w:p>
          <w:p>
            <w:pPr>
              <w:pStyle w:val="34"/>
              <w:numPr>
                <w:ilvl w:val="1"/>
                <w:numId w:val="16"/>
              </w:numPr>
              <w:overflowPunct w:val="0"/>
              <w:autoSpaceDE w:val="0"/>
              <w:autoSpaceDN w:val="0"/>
              <w:adjustRightInd w:val="0"/>
              <w:spacing w:after="120"/>
              <w:ind w:left="2977" w:hanging="50" w:firstLineChars="0"/>
              <w:textAlignment w:val="baseline"/>
              <w:rPr>
                <w:iCs/>
                <w:sz w:val="20"/>
                <w:szCs w:val="20"/>
              </w:rPr>
            </w:pPr>
            <w:r>
              <w:rPr>
                <w:iCs/>
                <w:sz w:val="20"/>
                <w:szCs w:val="20"/>
              </w:rPr>
              <w:t>but need not be centered on the channel raster.</w:t>
            </w:r>
          </w:p>
          <w:p>
            <w:pPr>
              <w:pStyle w:val="34"/>
              <w:numPr>
                <w:ilvl w:val="0"/>
                <w:numId w:val="15"/>
              </w:numPr>
              <w:overflowPunct w:val="0"/>
              <w:autoSpaceDE w:val="0"/>
              <w:autoSpaceDN w:val="0"/>
              <w:adjustRightInd w:val="0"/>
              <w:spacing w:after="120"/>
              <w:ind w:hanging="50" w:firstLineChars="0"/>
              <w:textAlignment w:val="baseline"/>
              <w:rPr>
                <w:iCs/>
                <w:sz w:val="20"/>
                <w:szCs w:val="20"/>
              </w:rPr>
            </w:pPr>
            <w:r>
              <w:rPr>
                <w:iCs/>
                <w:sz w:val="20"/>
                <w:szCs w:val="20"/>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overflowPunct w:val="0"/>
              <w:autoSpaceDE w:val="0"/>
              <w:autoSpaceDN w:val="0"/>
              <w:adjustRightInd w:val="0"/>
              <w:spacing w:after="180"/>
              <w:ind w:left="426" w:hanging="6"/>
              <w:textAlignment w:val="baseline"/>
              <w:rPr>
                <w:iCs/>
                <w:sz w:val="20"/>
                <w:szCs w:val="20"/>
              </w:rPr>
            </w:pPr>
          </w:p>
          <w:p>
            <w:pPr>
              <w:pStyle w:val="4"/>
              <w:numPr>
                <w:ilvl w:val="0"/>
                <w:numId w:val="12"/>
              </w:numPr>
              <w:overflowPunct w:val="0"/>
              <w:autoSpaceDE w:val="0"/>
              <w:autoSpaceDN w:val="0"/>
              <w:adjustRightInd w:val="0"/>
              <w:spacing w:after="180"/>
              <w:ind w:left="812"/>
              <w:textAlignment w:val="baseline"/>
              <w:rPr>
                <w:iCs/>
                <w:sz w:val="20"/>
                <w:szCs w:val="20"/>
              </w:rPr>
            </w:pPr>
            <w:r>
              <w:rPr>
                <w:iCs/>
                <w:sz w:val="20"/>
                <w:szCs w:val="20"/>
              </w:rPr>
              <w:t>Way forward</w:t>
            </w:r>
          </w:p>
          <w:p>
            <w:pPr>
              <w:overflowPunct w:val="0"/>
              <w:autoSpaceDE w:val="0"/>
              <w:autoSpaceDN w:val="0"/>
              <w:adjustRightInd w:val="0"/>
              <w:spacing w:after="180"/>
              <w:ind w:left="426"/>
              <w:textAlignment w:val="baseline"/>
              <w:rPr>
                <w:rFonts w:hint="default"/>
                <w:b/>
                <w:bCs/>
                <w:i w:val="0"/>
                <w:iCs w:val="0"/>
                <w:sz w:val="20"/>
                <w:szCs w:val="20"/>
                <w:vertAlign w:val="baseline"/>
                <w:lang w:val="en-US" w:eastAsia="zh-CN"/>
              </w:rPr>
            </w:pPr>
            <w:r>
              <w:rPr>
                <w:iCs/>
                <w:sz w:val="20"/>
                <w:szCs w:val="20"/>
              </w:rPr>
              <w:t>For the next meeting, companies are encouraged to comment on open issues and/or to detail the expected specification updates of their preferred approach.</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 xml:space="preserve">Above is way forward[2] for RAN4 #108 meeting, there are still two approaches for further study. Companies showed different understanding of impact on specifications of two approaches and whether the approach is a simple change in last meeting. The following compares two approaches from the perspective of impact on specifications. Since we reached an agreement that the new channel raster should be specified for all FR1 bands below 3GHz that currently have 100 kHz channel raster, this contribution will only consider these bands.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 xml:space="preserve">For approach 1, there is no doubt that additional channel raster for all FR1 bands below 3GHz with 100 kHz channel raster should be updated in related specifications including all conformance specifications. Furthermore, the concern about whether nominal channel spacing needs to be modified was raised in last meeting. In our view, </w:t>
      </w:r>
      <w:r>
        <w:rPr>
          <w:rFonts w:hint="eastAsia"/>
          <w:sz w:val="20"/>
          <w:szCs w:val="20"/>
          <w:lang w:val="en-US" w:eastAsia="zh-CN"/>
        </w:rPr>
        <w:t xml:space="preserve">nominal </w:t>
      </w:r>
      <w:r>
        <w:rPr>
          <w:rFonts w:hint="eastAsia"/>
          <w:i w:val="0"/>
          <w:iCs w:val="0"/>
          <w:sz w:val="20"/>
          <w:szCs w:val="20"/>
          <w:lang w:val="en-US" w:eastAsia="zh-CN"/>
        </w:rPr>
        <w:t xml:space="preserve">channel spacing for intra-band CA is defined as multiples of least common multiple of channel raster and subcarrier spacing. Current 100 kHz channel raster is multiple of 10 kHz enhanced channel raster, so the existing </w:t>
      </w:r>
      <w:r>
        <w:rPr>
          <w:rFonts w:hint="eastAsia"/>
          <w:sz w:val="20"/>
          <w:szCs w:val="20"/>
          <w:lang w:val="en-US" w:eastAsia="zh-CN"/>
        </w:rPr>
        <w:t xml:space="preserve">nominal </w:t>
      </w:r>
      <w:r>
        <w:rPr>
          <w:rFonts w:hint="eastAsia"/>
          <w:i w:val="0"/>
          <w:iCs w:val="0"/>
          <w:sz w:val="20"/>
          <w:szCs w:val="20"/>
          <w:lang w:val="en-US" w:eastAsia="zh-CN"/>
        </w:rPr>
        <w:t xml:space="preserve">channel spacing for intra-band CA can be reused. Channel raster enhancement is introduced to solve odd/even issue, hence, </w:t>
      </w:r>
      <w:r>
        <w:rPr>
          <w:rFonts w:hint="eastAsia"/>
          <w:sz w:val="20"/>
          <w:szCs w:val="20"/>
          <w:lang w:val="en-US" w:eastAsia="zh-CN"/>
        </w:rPr>
        <w:t xml:space="preserve">nominal </w:t>
      </w:r>
      <w:r>
        <w:rPr>
          <w:rFonts w:hint="eastAsia"/>
          <w:i w:val="0"/>
          <w:iCs w:val="0"/>
          <w:sz w:val="20"/>
          <w:szCs w:val="20"/>
          <w:lang w:val="en-US" w:eastAsia="zh-CN"/>
        </w:rPr>
        <w:t xml:space="preserve">channel spacing may not need to be changed. If we have another motivation to improve spectrum utilization, it is necessary to revise </w:t>
      </w:r>
      <w:r>
        <w:rPr>
          <w:rFonts w:hint="eastAsia"/>
          <w:sz w:val="20"/>
          <w:szCs w:val="20"/>
          <w:lang w:val="en-US" w:eastAsia="zh-CN"/>
        </w:rPr>
        <w:t xml:space="preserve">nominal </w:t>
      </w:r>
      <w:r>
        <w:rPr>
          <w:rFonts w:hint="eastAsia"/>
          <w:i w:val="0"/>
          <w:iCs w:val="0"/>
          <w:sz w:val="20"/>
          <w:szCs w:val="20"/>
          <w:lang w:val="en-US" w:eastAsia="zh-CN"/>
        </w:rPr>
        <w:t xml:space="preserve">channel spacing for intra-band CA. Regardless of whether </w:t>
      </w:r>
      <w:r>
        <w:rPr>
          <w:rFonts w:hint="eastAsia"/>
          <w:sz w:val="20"/>
          <w:szCs w:val="20"/>
          <w:lang w:val="en-US" w:eastAsia="zh-CN"/>
        </w:rPr>
        <w:t xml:space="preserve">nominal </w:t>
      </w:r>
      <w:r>
        <w:rPr>
          <w:rFonts w:hint="eastAsia"/>
          <w:i w:val="0"/>
          <w:iCs w:val="0"/>
          <w:sz w:val="20"/>
          <w:szCs w:val="20"/>
          <w:lang w:val="en-US" w:eastAsia="zh-CN"/>
        </w:rPr>
        <w:t>channel spacing will be modified, it is necessary to clarify applicable for 10 kHz channel raster in related section of the specifications.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b/>
          <w:bCs/>
          <w:i/>
          <w:iCs/>
          <w:sz w:val="20"/>
          <w:szCs w:val="20"/>
          <w:lang w:val="en-US" w:eastAsia="zh-CN"/>
        </w:rPr>
        <w:t>Proposal 1: Regardless of whether nominal channel spacing will be modified, it is necessary to clarify applicable for 10 kHz channel raster in related section of the specifications.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eastAsia="宋体"/>
          <w:i w:val="0"/>
          <w:iCs w:val="0"/>
          <w:sz w:val="20"/>
          <w:szCs w:val="20"/>
          <w:lang w:val="en-US" w:eastAsia="zh-CN"/>
        </w:rPr>
      </w:pPr>
      <w:r>
        <w:rPr>
          <w:rFonts w:hint="eastAsia"/>
          <w:i w:val="0"/>
          <w:iCs w:val="0"/>
          <w:sz w:val="20"/>
          <w:szCs w:val="20"/>
          <w:lang w:val="en-US" w:eastAsia="zh-CN"/>
        </w:rPr>
        <w:t>For approach 2, it clarifies the mapping between channel raster and resource element, which makes the specification clear. Some arguments were presented that RF requirements apply based on the condition that the channel (for both UE and BS) are placed on a valid channel raster entry given in Table 5.4.2.3-1 of TS 38.101-1 or -2.</w:t>
      </w:r>
      <w:r>
        <w:rPr>
          <w:rFonts w:hint="eastAsia"/>
          <w:sz w:val="20"/>
          <w:szCs w:val="20"/>
          <w:lang w:val="en-US" w:eastAsia="zh-CN"/>
        </w:rPr>
        <w:t xml:space="preserve"> In our opinion, RF requirements apply once guard band meet the required minimum guard band for the corresponding channel bandwidth in spite of whether channel is on 100 kHz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b/>
          <w:bCs/>
          <w:i/>
          <w:iCs/>
          <w:sz w:val="20"/>
          <w:szCs w:val="20"/>
          <w:lang w:val="en-US" w:eastAsia="zh-CN"/>
        </w:rPr>
        <w:t>Observation 1: RF requirements apply once guard band meet the required minimum guard band for the corresponding channel bandwidth in spite of whether channel is on 100 kHz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Cs/>
          <w:sz w:val="20"/>
          <w:szCs w:val="20"/>
          <w:lang w:val="en-US" w:eastAsia="zh-CN"/>
        </w:rPr>
      </w:pPr>
      <w:r>
        <w:rPr>
          <w:rFonts w:hint="eastAsia"/>
          <w:i w:val="0"/>
          <w:iCs w:val="0"/>
          <w:sz w:val="20"/>
          <w:szCs w:val="20"/>
          <w:lang w:val="en-US" w:eastAsia="zh-CN"/>
        </w:rPr>
        <w:t xml:space="preserve">Alternative 1 and 3 can be merged into one as follows due to have the same motivation of </w:t>
      </w:r>
      <w:r>
        <w:rPr>
          <w:iCs/>
          <w:sz w:val="20"/>
          <w:szCs w:val="20"/>
        </w:rPr>
        <w:t>not specify</w:t>
      </w:r>
      <w:r>
        <w:rPr>
          <w:rFonts w:hint="eastAsia"/>
          <w:iCs/>
          <w:sz w:val="20"/>
          <w:szCs w:val="20"/>
          <w:lang w:val="en-US" w:eastAsia="zh-CN"/>
        </w:rPr>
        <w:t>ing</w:t>
      </w:r>
      <w:r>
        <w:rPr>
          <w:iCs/>
          <w:sz w:val="20"/>
          <w:szCs w:val="20"/>
        </w:rPr>
        <w:t xml:space="preserve"> new channel raster entries</w:t>
      </w:r>
      <w:r>
        <w:rPr>
          <w:rFonts w:hint="eastAsia"/>
          <w:iCs/>
          <w:sz w:val="20"/>
          <w:szCs w:val="20"/>
          <w:lang w:val="en-US" w:eastAsia="zh-CN"/>
        </w:rPr>
        <w:t>.</w:t>
      </w:r>
    </w:p>
    <w:p>
      <w:pPr>
        <w:keepNext/>
        <w:keepLines/>
        <w:pageBreakBefore w:val="0"/>
        <w:widowControl/>
        <w:numPr>
          <w:ilvl w:val="0"/>
          <w:numId w:val="17"/>
        </w:numPr>
        <w:kinsoku/>
        <w:wordWrap/>
        <w:overflowPunct w:val="0"/>
        <w:topLinePunct w:val="0"/>
        <w:autoSpaceDE w:val="0"/>
        <w:autoSpaceDN w:val="0"/>
        <w:bidi w:val="0"/>
        <w:adjustRightInd w:val="0"/>
        <w:spacing w:before="120" w:line="240" w:lineRule="auto"/>
        <w:ind w:left="420" w:leftChars="0" w:hanging="420" w:firstLineChars="0"/>
        <w:textAlignment w:val="baseline"/>
        <w:rPr>
          <w:rFonts w:hint="eastAsia"/>
          <w:i w:val="0"/>
          <w:iCs w:val="0"/>
          <w:sz w:val="20"/>
          <w:szCs w:val="20"/>
          <w:lang w:val="en-US" w:eastAsia="zh-CN"/>
        </w:rPr>
      </w:pPr>
      <w:r>
        <w:rPr>
          <w:rFonts w:hint="eastAsia"/>
          <w:i w:val="0"/>
          <w:iCs w:val="0"/>
          <w:sz w:val="20"/>
          <w:szCs w:val="20"/>
          <w:lang w:val="en-US" w:eastAsia="zh-CN"/>
        </w:rPr>
        <w:t xml:space="preserve">Approach 2: Do not specify new channel raster entries </w:t>
      </w:r>
    </w:p>
    <w:p>
      <w:pPr>
        <w:keepNext/>
        <w:keepLines/>
        <w:pageBreakBefore w:val="0"/>
        <w:widowControl/>
        <w:numPr>
          <w:ilvl w:val="0"/>
          <w:numId w:val="18"/>
        </w:numPr>
        <w:kinsoku/>
        <w:wordWrap/>
        <w:overflowPunct w:val="0"/>
        <w:topLinePunct w:val="0"/>
        <w:autoSpaceDE w:val="0"/>
        <w:autoSpaceDN w:val="0"/>
        <w:bidi w:val="0"/>
        <w:adjustRightInd w:val="0"/>
        <w:snapToGrid/>
        <w:spacing w:before="120" w:line="240" w:lineRule="auto"/>
        <w:ind w:left="420" w:leftChars="200" w:firstLine="0"/>
        <w:textAlignment w:val="baseline"/>
        <w:rPr>
          <w:rFonts w:hint="eastAsia"/>
          <w:i w:val="0"/>
          <w:iCs w:val="0"/>
          <w:sz w:val="20"/>
          <w:szCs w:val="20"/>
          <w:lang w:val="en-US" w:eastAsia="zh-CN"/>
        </w:rPr>
      </w:pPr>
      <w:r>
        <w:rPr>
          <w:rFonts w:hint="eastAsia"/>
          <w:i w:val="0"/>
          <w:iCs w:val="0"/>
          <w:sz w:val="20"/>
          <w:szCs w:val="20"/>
          <w:lang w:val="en-US" w:eastAsia="zh-CN"/>
        </w:rPr>
        <w:t>Clarify in clause 5.4.2.2 of both the BS and UE specifications that the “RF channel” is mapped to the channel raster at the centre of a carrier grid of a serving cell for at least one numerology as advertised in SIB1.</w:t>
      </w:r>
    </w:p>
    <w:p>
      <w:pPr>
        <w:keepNext/>
        <w:keepLines/>
        <w:pageBreakBefore w:val="0"/>
        <w:widowControl/>
        <w:numPr>
          <w:ilvl w:val="0"/>
          <w:numId w:val="18"/>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i w:val="0"/>
          <w:iCs w:val="0"/>
          <w:sz w:val="20"/>
          <w:szCs w:val="20"/>
          <w:lang w:val="en-US" w:eastAsia="zh-CN"/>
        </w:rPr>
      </w:pPr>
      <w:r>
        <w:rPr>
          <w:rFonts w:hint="eastAsia"/>
          <w:i w:val="0"/>
          <w:iCs w:val="0"/>
          <w:sz w:val="20"/>
          <w:szCs w:val="20"/>
          <w:lang w:val="en-US" w:eastAsia="zh-CN"/>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pPr>
        <w:keepNext/>
        <w:keepLines/>
        <w:pageBreakBefore w:val="0"/>
        <w:widowControl/>
        <w:numPr>
          <w:ilvl w:val="0"/>
          <w:numId w:val="18"/>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i w:val="0"/>
          <w:iCs w:val="0"/>
          <w:sz w:val="20"/>
          <w:szCs w:val="20"/>
          <w:lang w:val="en-US" w:eastAsia="zh-CN"/>
        </w:rPr>
      </w:pPr>
      <w:r>
        <w:rPr>
          <w:rFonts w:hint="eastAsia"/>
          <w:i w:val="0"/>
          <w:iCs w:val="0"/>
          <w:sz w:val="20"/>
          <w:szCs w:val="20"/>
          <w:lang w:val="en-US" w:eastAsia="zh-CN"/>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Alternative 1 and 3 can be merged into one as follows.</w:t>
      </w:r>
    </w:p>
    <w:p>
      <w:pPr>
        <w:keepNext/>
        <w:keepLines/>
        <w:pageBreakBefore w:val="0"/>
        <w:widowControl/>
        <w:numPr>
          <w:ilvl w:val="0"/>
          <w:numId w:val="17"/>
        </w:numPr>
        <w:kinsoku/>
        <w:wordWrap/>
        <w:overflowPunct w:val="0"/>
        <w:topLinePunct w:val="0"/>
        <w:autoSpaceDE w:val="0"/>
        <w:autoSpaceDN w:val="0"/>
        <w:bidi w:val="0"/>
        <w:adjustRightInd w:val="0"/>
        <w:spacing w:before="120" w:line="240" w:lineRule="auto"/>
        <w:ind w:left="420" w:leftChars="0" w:hanging="420" w:firstLineChars="0"/>
        <w:textAlignment w:val="baseline"/>
        <w:rPr>
          <w:rFonts w:hint="eastAsia"/>
          <w:b/>
          <w:bCs/>
          <w:i/>
          <w:iCs/>
          <w:sz w:val="20"/>
          <w:szCs w:val="20"/>
          <w:lang w:val="en-US" w:eastAsia="zh-CN"/>
        </w:rPr>
      </w:pPr>
      <w:r>
        <w:rPr>
          <w:rFonts w:hint="eastAsia"/>
          <w:b/>
          <w:bCs/>
          <w:i/>
          <w:iCs/>
          <w:sz w:val="20"/>
          <w:szCs w:val="20"/>
          <w:lang w:val="en-US" w:eastAsia="zh-CN"/>
        </w:rPr>
        <w:t xml:space="preserve">Approach 2: Do not specify new channel raster entries </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Chars="200"/>
        <w:textAlignment w:val="baseline"/>
        <w:rPr>
          <w:rFonts w:hint="eastAsia"/>
          <w:b/>
          <w:bCs/>
          <w:i/>
          <w:iCs/>
          <w:sz w:val="20"/>
          <w:szCs w:val="20"/>
          <w:lang w:val="en-US" w:eastAsia="zh-CN"/>
        </w:rPr>
      </w:pPr>
      <w:r>
        <w:rPr>
          <w:rFonts w:hint="eastAsia"/>
          <w:b/>
          <w:bCs/>
          <w:i/>
          <w:iCs/>
          <w:sz w:val="20"/>
          <w:szCs w:val="20"/>
          <w:lang w:val="en-US" w:eastAsia="zh-CN"/>
        </w:rPr>
        <w:t>Clarify in clause 5.4.2.2 of both the BS and UE specifications that the “RF channel” is mapped to the channel raster at the centre of a carrier grid of a serving cell for at least one numerology as advertised in SIB1.</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b/>
          <w:bCs/>
          <w:i/>
          <w:iCs/>
          <w:sz w:val="20"/>
          <w:szCs w:val="20"/>
          <w:lang w:val="en-US" w:eastAsia="zh-CN"/>
        </w:rPr>
      </w:pPr>
      <w:r>
        <w:rPr>
          <w:rFonts w:hint="eastAsia"/>
          <w:b/>
          <w:bCs/>
          <w:i/>
          <w:iCs/>
          <w:sz w:val="20"/>
          <w:szCs w:val="20"/>
          <w:lang w:val="en-US" w:eastAsia="zh-CN"/>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b/>
          <w:bCs/>
          <w:i/>
          <w:iCs/>
          <w:sz w:val="20"/>
          <w:szCs w:val="20"/>
          <w:lang w:val="en-US" w:eastAsia="zh-CN"/>
        </w:rPr>
      </w:pPr>
      <w:r>
        <w:rPr>
          <w:rFonts w:hint="eastAsia"/>
          <w:b/>
          <w:bCs/>
          <w:i/>
          <w:iCs/>
          <w:sz w:val="20"/>
          <w:szCs w:val="20"/>
          <w:lang w:val="en-US" w:eastAsia="zh-CN"/>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r>
        <w:rPr>
          <w:rFonts w:hint="eastAsia"/>
          <w:i w:val="0"/>
          <w:iCs w:val="0"/>
          <w:sz w:val="20"/>
          <w:szCs w:val="20"/>
          <w:lang w:val="en-US" w:eastAsia="zh-CN"/>
        </w:rPr>
        <w:t>No matter which approach will be selected to solve odd/even issue, the mapping between channel raster and resource element must be further clarified in the specification as companies have different understandings.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b/>
          <w:bCs/>
          <w:i/>
          <w:iCs/>
          <w:sz w:val="20"/>
          <w:szCs w:val="20"/>
          <w:lang w:val="en-US" w:eastAsia="zh-CN"/>
        </w:rPr>
        <w:t>Proposal 3: No matter which approach will be selected to solve odd/even issue, the mapping between channel raster and resource element must be further clarified in the specification as companies have different understandings.</w:t>
      </w:r>
    </w:p>
    <w:bookmarkEnd w:id="3"/>
    <w:bookmarkEnd w:id="4"/>
    <w:bookmarkEnd w:id="5"/>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w:t>
      </w:r>
      <w:r>
        <w:rPr>
          <w:rFonts w:hint="default"/>
          <w:i w:val="0"/>
          <w:iCs w:val="0"/>
          <w:sz w:val="20"/>
          <w:szCs w:val="20"/>
          <w:lang w:val="en-US" w:eastAsia="zh-CN"/>
        </w:rPr>
        <w:t xml:space="preserve"> UE and BS</w:t>
      </w:r>
      <w:r>
        <w:rPr>
          <w:rFonts w:hint="eastAsia"/>
          <w:i w:val="0"/>
          <w:iCs w:val="0"/>
          <w:sz w:val="20"/>
          <w:szCs w:val="20"/>
          <w:lang w:val="en-US" w:eastAsia="zh-CN"/>
        </w:rPr>
        <w:t xml:space="preserve"> channel raster enhancement</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Regardless of whether nominal channel spacing will be modified, it is necessary to clarify applicable for 10 kHz channel raster in related section of the specifications.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sz w:val="20"/>
          <w:szCs w:val="20"/>
          <w:lang w:val="en-US" w:eastAsia="zh-CN"/>
        </w:rPr>
      </w:pPr>
      <w:r>
        <w:rPr>
          <w:rFonts w:hint="eastAsia"/>
          <w:b/>
          <w:bCs/>
          <w:i/>
          <w:iCs/>
          <w:sz w:val="20"/>
          <w:szCs w:val="20"/>
          <w:lang w:val="en-US" w:eastAsia="zh-CN"/>
        </w:rPr>
        <w:t>Observation 1: RF requirements apply once guard band meet the required minimum guard band for the corresponding channel bandwidth in spite of whether channel is on 100 kHz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Alternative 1 and 3 can be merged into one as follows.</w:t>
      </w:r>
    </w:p>
    <w:p>
      <w:pPr>
        <w:keepNext/>
        <w:keepLines/>
        <w:pageBreakBefore w:val="0"/>
        <w:widowControl/>
        <w:numPr>
          <w:ilvl w:val="0"/>
          <w:numId w:val="17"/>
        </w:numPr>
        <w:kinsoku/>
        <w:wordWrap/>
        <w:overflowPunct w:val="0"/>
        <w:topLinePunct w:val="0"/>
        <w:autoSpaceDE w:val="0"/>
        <w:autoSpaceDN w:val="0"/>
        <w:bidi w:val="0"/>
        <w:adjustRightInd w:val="0"/>
        <w:spacing w:before="120" w:line="240" w:lineRule="auto"/>
        <w:ind w:left="420" w:leftChars="0" w:hanging="420" w:firstLineChars="0"/>
        <w:textAlignment w:val="baseline"/>
        <w:rPr>
          <w:rFonts w:hint="eastAsia"/>
          <w:b/>
          <w:bCs/>
          <w:i/>
          <w:iCs/>
          <w:sz w:val="20"/>
          <w:szCs w:val="20"/>
          <w:lang w:val="en-US" w:eastAsia="zh-CN"/>
        </w:rPr>
      </w:pPr>
      <w:r>
        <w:rPr>
          <w:rFonts w:hint="eastAsia"/>
          <w:b/>
          <w:bCs/>
          <w:i/>
          <w:iCs/>
          <w:sz w:val="20"/>
          <w:szCs w:val="20"/>
          <w:lang w:val="en-US" w:eastAsia="zh-CN"/>
        </w:rPr>
        <w:t xml:space="preserve">Approach 2: Do not specify new channel raster entries </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Chars="200"/>
        <w:textAlignment w:val="baseline"/>
        <w:rPr>
          <w:rFonts w:hint="eastAsia"/>
          <w:b/>
          <w:bCs/>
          <w:i/>
          <w:iCs/>
          <w:sz w:val="20"/>
          <w:szCs w:val="20"/>
          <w:lang w:val="en-US" w:eastAsia="zh-CN"/>
        </w:rPr>
      </w:pPr>
      <w:r>
        <w:rPr>
          <w:rFonts w:hint="eastAsia"/>
          <w:b/>
          <w:bCs/>
          <w:i/>
          <w:iCs/>
          <w:sz w:val="20"/>
          <w:szCs w:val="20"/>
          <w:lang w:val="en-US" w:eastAsia="zh-CN"/>
        </w:rPr>
        <w:t>Clarify in clause 5.4.2.2 of both the BS and UE specifications that the “RF channel” is mapped to the channel raster at the centre of a carrier grid of a serving cell for at least one numerology as advertised in SIB1.</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b/>
          <w:bCs/>
          <w:i/>
          <w:iCs/>
          <w:sz w:val="20"/>
          <w:szCs w:val="20"/>
          <w:lang w:val="en-US" w:eastAsia="zh-CN"/>
        </w:rPr>
      </w:pPr>
      <w:r>
        <w:rPr>
          <w:rFonts w:hint="eastAsia"/>
          <w:b/>
          <w:bCs/>
          <w:i/>
          <w:iCs/>
          <w:sz w:val="20"/>
          <w:szCs w:val="20"/>
          <w:lang w:val="en-US" w:eastAsia="zh-CN"/>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pPr>
        <w:keepNext/>
        <w:keepLines/>
        <w:pageBreakBefore w:val="0"/>
        <w:widowControl/>
        <w:numPr>
          <w:ilvl w:val="0"/>
          <w:numId w:val="19"/>
        </w:numPr>
        <w:kinsoku/>
        <w:wordWrap/>
        <w:overflowPunct w:val="0"/>
        <w:topLinePunct w:val="0"/>
        <w:autoSpaceDE w:val="0"/>
        <w:autoSpaceDN w:val="0"/>
        <w:bidi w:val="0"/>
        <w:adjustRightInd w:val="0"/>
        <w:snapToGrid/>
        <w:spacing w:before="120" w:line="240" w:lineRule="auto"/>
        <w:ind w:left="420" w:leftChars="200" w:firstLine="0" w:firstLineChars="0"/>
        <w:textAlignment w:val="baseline"/>
        <w:rPr>
          <w:rFonts w:hint="eastAsia"/>
          <w:b/>
          <w:bCs/>
          <w:i/>
          <w:iCs/>
          <w:sz w:val="20"/>
          <w:szCs w:val="20"/>
          <w:lang w:val="en-US" w:eastAsia="zh-CN"/>
        </w:rPr>
      </w:pPr>
      <w:r>
        <w:rPr>
          <w:rFonts w:hint="eastAsia"/>
          <w:b/>
          <w:bCs/>
          <w:i/>
          <w:iCs/>
          <w:sz w:val="20"/>
          <w:szCs w:val="20"/>
          <w:lang w:val="en-US" w:eastAsia="zh-CN"/>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3: No matter which approach will be selected to solve odd/even issue, the mapping between channel raster and resource element must be further clarified in the specification as companies have different understandings.</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2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RP-231469, </w:t>
      </w:r>
      <w:r>
        <w:rPr>
          <w:rFonts w:hint="default"/>
          <w:sz w:val="20"/>
          <w:szCs w:val="20"/>
          <w:lang w:val="en-US" w:eastAsia="zh-CN"/>
        </w:rPr>
        <w:t>“</w:t>
      </w:r>
      <w:r>
        <w:rPr>
          <w:rFonts w:hint="eastAsia"/>
          <w:sz w:val="20"/>
          <w:szCs w:val="20"/>
          <w:lang w:val="en-US" w:eastAsia="zh-CN"/>
        </w:rPr>
        <w:t>Revised WID: Channel raster enhancement</w:t>
      </w:r>
      <w:r>
        <w:rPr>
          <w:rFonts w:hint="default"/>
          <w:sz w:val="20"/>
          <w:szCs w:val="20"/>
          <w:lang w:val="en-US" w:eastAsia="zh-CN"/>
        </w:rPr>
        <w:t>”</w:t>
      </w:r>
      <w:r>
        <w:rPr>
          <w:rFonts w:hint="eastAsia"/>
          <w:sz w:val="20"/>
          <w:szCs w:val="20"/>
          <w:lang w:val="en-US" w:eastAsia="zh-CN"/>
        </w:rPr>
        <w:t>, Ericsson</w:t>
      </w:r>
    </w:p>
    <w:p>
      <w:pPr>
        <w:keepNext/>
        <w:keepLines/>
        <w:pageBreakBefore w:val="0"/>
        <w:widowControl/>
        <w:numPr>
          <w:ilvl w:val="0"/>
          <w:numId w:val="2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R4-231</w:t>
      </w:r>
      <w:r>
        <w:rPr>
          <w:rFonts w:hint="eastAsia"/>
          <w:sz w:val="20"/>
          <w:szCs w:val="20"/>
          <w:lang w:val="en-US" w:eastAsia="zh-CN"/>
        </w:rPr>
        <w:t xml:space="preserve">4681, </w:t>
      </w:r>
      <w:r>
        <w:rPr>
          <w:rFonts w:hint="default"/>
          <w:sz w:val="20"/>
          <w:szCs w:val="20"/>
          <w:lang w:val="en-US" w:eastAsia="zh-CN"/>
        </w:rPr>
        <w:t>“WF on channel raster enhancements”</w:t>
      </w:r>
      <w:r>
        <w:rPr>
          <w:rFonts w:hint="eastAsia"/>
          <w:sz w:val="20"/>
          <w:szCs w:val="20"/>
          <w:lang w:val="en-US" w:eastAsia="zh-CN"/>
        </w:rPr>
        <w:t>,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450B0"/>
    <w:multiLevelType w:val="singleLevel"/>
    <w:tmpl w:val="9C2450B0"/>
    <w:lvl w:ilvl="0" w:tentative="0">
      <w:start w:val="1"/>
      <w:numFmt w:val="decimal"/>
      <w:suff w:val="space"/>
      <w:lvlText w:val="%1-"/>
      <w:lvlJc w:val="left"/>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50C303F"/>
    <w:multiLevelType w:val="multilevel"/>
    <w:tmpl w:val="150C303F"/>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166D58CC"/>
    <w:multiLevelType w:val="singleLevel"/>
    <w:tmpl w:val="166D58CC"/>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6">
    <w:nsid w:val="16852C91"/>
    <w:multiLevelType w:val="multilevel"/>
    <w:tmpl w:val="16852C9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decimal"/>
      <w:lvlText w:val="%3-"/>
      <w:lvlJc w:val="left"/>
      <w:pPr>
        <w:ind w:left="2376" w:hanging="360"/>
      </w:pPr>
      <w:rPr>
        <w:rFonts w:ascii="Times New Roman" w:hAnsi="Times New Roman" w:eastAsia="宋体"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AFF315F"/>
    <w:multiLevelType w:val="multilevel"/>
    <w:tmpl w:val="2AFF315F"/>
    <w:lvl w:ilvl="0" w:tentative="0">
      <w:start w:val="1"/>
      <w:numFmt w:val="decimal"/>
      <w:lvlText w:val="%1-"/>
      <w:lvlJc w:val="left"/>
      <w:pPr>
        <w:ind w:left="2460" w:hanging="360"/>
      </w:pPr>
      <w:rPr>
        <w:rFonts w:hint="default"/>
      </w:rPr>
    </w:lvl>
    <w:lvl w:ilvl="1" w:tentative="0">
      <w:start w:val="1"/>
      <w:numFmt w:val="lowerLetter"/>
      <w:lvlText w:val="%2."/>
      <w:lvlJc w:val="left"/>
      <w:pPr>
        <w:ind w:left="3180" w:hanging="360"/>
      </w:pPr>
    </w:lvl>
    <w:lvl w:ilvl="2" w:tentative="0">
      <w:start w:val="1"/>
      <w:numFmt w:val="lowerRoman"/>
      <w:lvlText w:val="%3."/>
      <w:lvlJc w:val="right"/>
      <w:pPr>
        <w:ind w:left="3900" w:hanging="180"/>
      </w:pPr>
    </w:lvl>
    <w:lvl w:ilvl="3" w:tentative="0">
      <w:start w:val="1"/>
      <w:numFmt w:val="decimal"/>
      <w:lvlText w:val="%4."/>
      <w:lvlJc w:val="left"/>
      <w:pPr>
        <w:ind w:left="4620" w:hanging="360"/>
      </w:pPr>
    </w:lvl>
    <w:lvl w:ilvl="4" w:tentative="0">
      <w:start w:val="1"/>
      <w:numFmt w:val="lowerLetter"/>
      <w:lvlText w:val="%5."/>
      <w:lvlJc w:val="left"/>
      <w:pPr>
        <w:ind w:left="5340" w:hanging="360"/>
      </w:pPr>
    </w:lvl>
    <w:lvl w:ilvl="5" w:tentative="0">
      <w:start w:val="1"/>
      <w:numFmt w:val="lowerRoman"/>
      <w:lvlText w:val="%6."/>
      <w:lvlJc w:val="right"/>
      <w:pPr>
        <w:ind w:left="6060" w:hanging="180"/>
      </w:pPr>
    </w:lvl>
    <w:lvl w:ilvl="6" w:tentative="0">
      <w:start w:val="1"/>
      <w:numFmt w:val="decimal"/>
      <w:lvlText w:val="%7."/>
      <w:lvlJc w:val="left"/>
      <w:pPr>
        <w:ind w:left="6780" w:hanging="360"/>
      </w:pPr>
    </w:lvl>
    <w:lvl w:ilvl="7" w:tentative="0">
      <w:start w:val="1"/>
      <w:numFmt w:val="lowerLetter"/>
      <w:lvlText w:val="%8."/>
      <w:lvlJc w:val="left"/>
      <w:pPr>
        <w:ind w:left="7500" w:hanging="360"/>
      </w:pPr>
    </w:lvl>
    <w:lvl w:ilvl="8" w:tentative="0">
      <w:start w:val="1"/>
      <w:numFmt w:val="lowerRoman"/>
      <w:lvlText w:val="%9."/>
      <w:lvlJc w:val="right"/>
      <w:pPr>
        <w:ind w:left="8220" w:hanging="180"/>
      </w:pPr>
    </w:lvl>
  </w:abstractNum>
  <w:abstractNum w:abstractNumId="9">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0">
    <w:nsid w:val="37BA0C7C"/>
    <w:multiLevelType w:val="multilevel"/>
    <w:tmpl w:val="37BA0C7C"/>
    <w:lvl w:ilvl="0" w:tentative="0">
      <w:start w:val="1"/>
      <w:numFmt w:val="lowerLetter"/>
      <w:lvlText w:val="%1)"/>
      <w:lvlJc w:val="left"/>
      <w:pPr>
        <w:ind w:left="2376"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3816" w:hanging="180"/>
      </w:pPr>
    </w:lvl>
    <w:lvl w:ilvl="3" w:tentative="0">
      <w:start w:val="1"/>
      <w:numFmt w:val="decimal"/>
      <w:lvlText w:val="%4."/>
      <w:lvlJc w:val="left"/>
      <w:pPr>
        <w:ind w:left="4536" w:hanging="360"/>
      </w:pPr>
    </w:lvl>
    <w:lvl w:ilvl="4" w:tentative="0">
      <w:start w:val="1"/>
      <w:numFmt w:val="lowerLetter"/>
      <w:lvlText w:val="%5."/>
      <w:lvlJc w:val="left"/>
      <w:pPr>
        <w:ind w:left="5256" w:hanging="360"/>
      </w:pPr>
    </w:lvl>
    <w:lvl w:ilvl="5" w:tentative="0">
      <w:start w:val="1"/>
      <w:numFmt w:val="lowerRoman"/>
      <w:lvlText w:val="%6."/>
      <w:lvlJc w:val="right"/>
      <w:pPr>
        <w:ind w:left="5976" w:hanging="180"/>
      </w:pPr>
    </w:lvl>
    <w:lvl w:ilvl="6" w:tentative="0">
      <w:start w:val="1"/>
      <w:numFmt w:val="decimal"/>
      <w:lvlText w:val="%7."/>
      <w:lvlJc w:val="left"/>
      <w:pPr>
        <w:ind w:left="6696" w:hanging="360"/>
      </w:pPr>
    </w:lvl>
    <w:lvl w:ilvl="7" w:tentative="0">
      <w:start w:val="1"/>
      <w:numFmt w:val="lowerLetter"/>
      <w:lvlText w:val="%8."/>
      <w:lvlJc w:val="left"/>
      <w:pPr>
        <w:ind w:left="7416" w:hanging="360"/>
      </w:pPr>
    </w:lvl>
    <w:lvl w:ilvl="8" w:tentative="0">
      <w:start w:val="1"/>
      <w:numFmt w:val="lowerRoman"/>
      <w:lvlText w:val="%9."/>
      <w:lvlJc w:val="right"/>
      <w:pPr>
        <w:ind w:left="8136" w:hanging="180"/>
      </w:pPr>
    </w:lvl>
  </w:abstractNum>
  <w:abstractNum w:abstractNumId="11">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2">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CAD2033"/>
    <w:multiLevelType w:val="singleLevel"/>
    <w:tmpl w:val="4CAD2033"/>
    <w:lvl w:ilvl="0" w:tentative="0">
      <w:start w:val="1"/>
      <w:numFmt w:val="decimal"/>
      <w:suff w:val="space"/>
      <w:lvlText w:val="%1-"/>
      <w:lvlJc w:val="left"/>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7">
    <w:nsid w:val="5F723A5E"/>
    <w:multiLevelType w:val="singleLevel"/>
    <w:tmpl w:val="5F723A5E"/>
    <w:lvl w:ilvl="0" w:tentative="0">
      <w:start w:val="1"/>
      <w:numFmt w:val="decimal"/>
      <w:suff w:val="space"/>
      <w:lvlText w:val="[%1]"/>
      <w:lvlJc w:val="left"/>
    </w:lvl>
  </w:abstractNum>
  <w:abstractNum w:abstractNumId="1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9">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18"/>
  </w:num>
  <w:num w:numId="3">
    <w:abstractNumId w:val="16"/>
  </w:num>
  <w:num w:numId="4">
    <w:abstractNumId w:val="9"/>
  </w:num>
  <w:num w:numId="5">
    <w:abstractNumId w:val="11"/>
  </w:num>
  <w:num w:numId="6">
    <w:abstractNumId w:val="2"/>
  </w:num>
  <w:num w:numId="7">
    <w:abstractNumId w:val="1"/>
  </w:num>
  <w:num w:numId="8">
    <w:abstractNumId w:val="12"/>
  </w:num>
  <w:num w:numId="9">
    <w:abstractNumId w:val="7"/>
  </w:num>
  <w:num w:numId="10">
    <w:abstractNumId w:val="19"/>
  </w:num>
  <w:num w:numId="11">
    <w:abstractNumId w:val="13"/>
  </w:num>
  <w:num w:numId="12">
    <w:abstractNumId w:val="4"/>
  </w:num>
  <w:num w:numId="13">
    <w:abstractNumId w:val="15"/>
  </w:num>
  <w:num w:numId="14">
    <w:abstractNumId w:val="6"/>
  </w:num>
  <w:num w:numId="15">
    <w:abstractNumId w:val="8"/>
  </w:num>
  <w:num w:numId="16">
    <w:abstractNumId w:val="10"/>
  </w:num>
  <w:num w:numId="17">
    <w:abstractNumId w:val="5"/>
  </w:num>
  <w:num w:numId="18">
    <w:abstractNumId w:val="14"/>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0794"/>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20E7A"/>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130F7"/>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3FF0D8A"/>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AA54C9"/>
    <w:rsid w:val="04B14B03"/>
    <w:rsid w:val="04D46535"/>
    <w:rsid w:val="04DA1A87"/>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C4205B"/>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704BB"/>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0E6D6A"/>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6F4ADE"/>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670209"/>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EB39B5"/>
    <w:rsid w:val="0AF13898"/>
    <w:rsid w:val="0AFB3228"/>
    <w:rsid w:val="0AFC6C07"/>
    <w:rsid w:val="0AFF6A66"/>
    <w:rsid w:val="0B0130D7"/>
    <w:rsid w:val="0B0250FD"/>
    <w:rsid w:val="0B0F025C"/>
    <w:rsid w:val="0B1A6333"/>
    <w:rsid w:val="0B1B602D"/>
    <w:rsid w:val="0B2713F4"/>
    <w:rsid w:val="0B3B1BC1"/>
    <w:rsid w:val="0B3B5196"/>
    <w:rsid w:val="0B3D701F"/>
    <w:rsid w:val="0B3E7DD7"/>
    <w:rsid w:val="0B491629"/>
    <w:rsid w:val="0B554398"/>
    <w:rsid w:val="0B561995"/>
    <w:rsid w:val="0B5C2C2A"/>
    <w:rsid w:val="0B6148D2"/>
    <w:rsid w:val="0B665E0A"/>
    <w:rsid w:val="0B847B39"/>
    <w:rsid w:val="0B893072"/>
    <w:rsid w:val="0B987E20"/>
    <w:rsid w:val="0B9E71DF"/>
    <w:rsid w:val="0BA65BCD"/>
    <w:rsid w:val="0BAD5CC5"/>
    <w:rsid w:val="0BAD5EDC"/>
    <w:rsid w:val="0BAF59B9"/>
    <w:rsid w:val="0BB524B8"/>
    <w:rsid w:val="0BB756DF"/>
    <w:rsid w:val="0BC63DB2"/>
    <w:rsid w:val="0BCC4043"/>
    <w:rsid w:val="0BCC4B6A"/>
    <w:rsid w:val="0BD215EE"/>
    <w:rsid w:val="0BE2291A"/>
    <w:rsid w:val="0C130003"/>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906ADA"/>
    <w:rsid w:val="0CB94808"/>
    <w:rsid w:val="0CC146A9"/>
    <w:rsid w:val="0CC37BC2"/>
    <w:rsid w:val="0CC84F6E"/>
    <w:rsid w:val="0CD87ABE"/>
    <w:rsid w:val="0CE26C42"/>
    <w:rsid w:val="0CE632FF"/>
    <w:rsid w:val="0CE76B48"/>
    <w:rsid w:val="0CEB5DBE"/>
    <w:rsid w:val="0CFB523A"/>
    <w:rsid w:val="0D074D4A"/>
    <w:rsid w:val="0D0A3371"/>
    <w:rsid w:val="0D0C5764"/>
    <w:rsid w:val="0D1B1E9C"/>
    <w:rsid w:val="0D2517C2"/>
    <w:rsid w:val="0D4B44A1"/>
    <w:rsid w:val="0D6811B4"/>
    <w:rsid w:val="0D6E2620"/>
    <w:rsid w:val="0D704E21"/>
    <w:rsid w:val="0D7F48FE"/>
    <w:rsid w:val="0D883C88"/>
    <w:rsid w:val="0D936E72"/>
    <w:rsid w:val="0D966BF7"/>
    <w:rsid w:val="0DA42D99"/>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7B13E0"/>
    <w:rsid w:val="0E81568A"/>
    <w:rsid w:val="0E88056B"/>
    <w:rsid w:val="0E942250"/>
    <w:rsid w:val="0E963344"/>
    <w:rsid w:val="0E9E6E00"/>
    <w:rsid w:val="0EA40C1C"/>
    <w:rsid w:val="0EAA759E"/>
    <w:rsid w:val="0EAF381F"/>
    <w:rsid w:val="0EB72E4B"/>
    <w:rsid w:val="0EEC6F1D"/>
    <w:rsid w:val="0F103291"/>
    <w:rsid w:val="0F15660A"/>
    <w:rsid w:val="0F1D498B"/>
    <w:rsid w:val="0F22242C"/>
    <w:rsid w:val="0F2A04E1"/>
    <w:rsid w:val="0F2E45C7"/>
    <w:rsid w:val="0F337178"/>
    <w:rsid w:val="0F3B15FC"/>
    <w:rsid w:val="0F41022A"/>
    <w:rsid w:val="0F4B1A1C"/>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820DF"/>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83177"/>
    <w:rsid w:val="11CE730E"/>
    <w:rsid w:val="11D815C4"/>
    <w:rsid w:val="11E57D4F"/>
    <w:rsid w:val="11F40833"/>
    <w:rsid w:val="11F92DAB"/>
    <w:rsid w:val="11FB6DE4"/>
    <w:rsid w:val="11FC38D5"/>
    <w:rsid w:val="11FD37F5"/>
    <w:rsid w:val="120F1E38"/>
    <w:rsid w:val="1210682D"/>
    <w:rsid w:val="122215D3"/>
    <w:rsid w:val="123A05DB"/>
    <w:rsid w:val="124240B9"/>
    <w:rsid w:val="12460FF1"/>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1788F"/>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172D3"/>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2DD"/>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21DD4"/>
    <w:rsid w:val="17481B81"/>
    <w:rsid w:val="17481E8B"/>
    <w:rsid w:val="174A69B0"/>
    <w:rsid w:val="175007ED"/>
    <w:rsid w:val="17605E9B"/>
    <w:rsid w:val="176B45C6"/>
    <w:rsid w:val="176C447F"/>
    <w:rsid w:val="17850F99"/>
    <w:rsid w:val="17875303"/>
    <w:rsid w:val="178815C4"/>
    <w:rsid w:val="17891C0B"/>
    <w:rsid w:val="178F2F4E"/>
    <w:rsid w:val="1793626E"/>
    <w:rsid w:val="17971B82"/>
    <w:rsid w:val="17991452"/>
    <w:rsid w:val="17A875F5"/>
    <w:rsid w:val="17B5256D"/>
    <w:rsid w:val="17B92501"/>
    <w:rsid w:val="17E47B20"/>
    <w:rsid w:val="17E65848"/>
    <w:rsid w:val="17E66DD8"/>
    <w:rsid w:val="17E84839"/>
    <w:rsid w:val="17EE1403"/>
    <w:rsid w:val="17F25234"/>
    <w:rsid w:val="17FD061B"/>
    <w:rsid w:val="17FD20FD"/>
    <w:rsid w:val="17FF6314"/>
    <w:rsid w:val="18003CEA"/>
    <w:rsid w:val="18005F41"/>
    <w:rsid w:val="18025414"/>
    <w:rsid w:val="18171305"/>
    <w:rsid w:val="181A5CB6"/>
    <w:rsid w:val="1829280B"/>
    <w:rsid w:val="18334194"/>
    <w:rsid w:val="183E1D37"/>
    <w:rsid w:val="184D0787"/>
    <w:rsid w:val="18511C94"/>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BE77B2"/>
    <w:rsid w:val="19C456C1"/>
    <w:rsid w:val="19CD235C"/>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7D0B0E"/>
    <w:rsid w:val="1A8301C0"/>
    <w:rsid w:val="1A872248"/>
    <w:rsid w:val="1A9B2279"/>
    <w:rsid w:val="1A9B57E0"/>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3911B0"/>
    <w:rsid w:val="20446081"/>
    <w:rsid w:val="204852AD"/>
    <w:rsid w:val="204A6449"/>
    <w:rsid w:val="204E6676"/>
    <w:rsid w:val="205A5AA0"/>
    <w:rsid w:val="20773A28"/>
    <w:rsid w:val="208318EB"/>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03BD0"/>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400C65"/>
    <w:rsid w:val="24513B48"/>
    <w:rsid w:val="2458381E"/>
    <w:rsid w:val="245872F9"/>
    <w:rsid w:val="245943D9"/>
    <w:rsid w:val="245E6B64"/>
    <w:rsid w:val="2463385E"/>
    <w:rsid w:val="246B2606"/>
    <w:rsid w:val="24767C7B"/>
    <w:rsid w:val="247C178B"/>
    <w:rsid w:val="24861BCE"/>
    <w:rsid w:val="24874C19"/>
    <w:rsid w:val="24967323"/>
    <w:rsid w:val="249D5FC8"/>
    <w:rsid w:val="24A1538E"/>
    <w:rsid w:val="24B9450F"/>
    <w:rsid w:val="24C25350"/>
    <w:rsid w:val="24C56E43"/>
    <w:rsid w:val="24C83F94"/>
    <w:rsid w:val="24D82EE2"/>
    <w:rsid w:val="24E6328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30797"/>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7278C"/>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76DC2"/>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058FA"/>
    <w:rsid w:val="28760CA0"/>
    <w:rsid w:val="287B218C"/>
    <w:rsid w:val="288A05DD"/>
    <w:rsid w:val="288C7637"/>
    <w:rsid w:val="28937D89"/>
    <w:rsid w:val="289B0550"/>
    <w:rsid w:val="28BD3F79"/>
    <w:rsid w:val="28C8606D"/>
    <w:rsid w:val="28C96C14"/>
    <w:rsid w:val="28D57B56"/>
    <w:rsid w:val="28D67FF3"/>
    <w:rsid w:val="28DE11F1"/>
    <w:rsid w:val="28E138E3"/>
    <w:rsid w:val="28E74216"/>
    <w:rsid w:val="28E87EE4"/>
    <w:rsid w:val="290212AC"/>
    <w:rsid w:val="2903396A"/>
    <w:rsid w:val="294E766A"/>
    <w:rsid w:val="2952590A"/>
    <w:rsid w:val="297161D3"/>
    <w:rsid w:val="2978319A"/>
    <w:rsid w:val="297E0BF6"/>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03CF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166B96"/>
    <w:rsid w:val="2D1F19E4"/>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582922"/>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CC0AA8"/>
    <w:rsid w:val="2ED5090E"/>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467A1"/>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7D354E"/>
    <w:rsid w:val="368230C6"/>
    <w:rsid w:val="36843A03"/>
    <w:rsid w:val="368F7E4F"/>
    <w:rsid w:val="36985297"/>
    <w:rsid w:val="369F633B"/>
    <w:rsid w:val="36A30FDB"/>
    <w:rsid w:val="36A7007C"/>
    <w:rsid w:val="36B24AE8"/>
    <w:rsid w:val="36BD0DC4"/>
    <w:rsid w:val="36D51D00"/>
    <w:rsid w:val="36D66B5E"/>
    <w:rsid w:val="36D86634"/>
    <w:rsid w:val="36DE4AF9"/>
    <w:rsid w:val="36E6705F"/>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605D7"/>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2630A"/>
    <w:rsid w:val="3B552653"/>
    <w:rsid w:val="3B5A2A22"/>
    <w:rsid w:val="3B707794"/>
    <w:rsid w:val="3B7804A3"/>
    <w:rsid w:val="3B8252C8"/>
    <w:rsid w:val="3B8E2153"/>
    <w:rsid w:val="3B9B2072"/>
    <w:rsid w:val="3BA03B83"/>
    <w:rsid w:val="3BA91F03"/>
    <w:rsid w:val="3BB16FA6"/>
    <w:rsid w:val="3BB17CE6"/>
    <w:rsid w:val="3BB20883"/>
    <w:rsid w:val="3BB448B0"/>
    <w:rsid w:val="3BC34E75"/>
    <w:rsid w:val="3BCB270F"/>
    <w:rsid w:val="3BD96AA6"/>
    <w:rsid w:val="3BDB053C"/>
    <w:rsid w:val="3BED002E"/>
    <w:rsid w:val="3BEE7C16"/>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31337"/>
    <w:rsid w:val="3DF95812"/>
    <w:rsid w:val="3E0040D9"/>
    <w:rsid w:val="3E1328D6"/>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9780A"/>
    <w:rsid w:val="40FD1BF0"/>
    <w:rsid w:val="41015E92"/>
    <w:rsid w:val="41096BC0"/>
    <w:rsid w:val="410A75B6"/>
    <w:rsid w:val="410B452A"/>
    <w:rsid w:val="41146D26"/>
    <w:rsid w:val="411B6EDC"/>
    <w:rsid w:val="413353F1"/>
    <w:rsid w:val="414C0B0E"/>
    <w:rsid w:val="41513BC9"/>
    <w:rsid w:val="41735B7F"/>
    <w:rsid w:val="417C0A1D"/>
    <w:rsid w:val="419302E2"/>
    <w:rsid w:val="419E558F"/>
    <w:rsid w:val="419E60D3"/>
    <w:rsid w:val="41A339F5"/>
    <w:rsid w:val="41A36C7E"/>
    <w:rsid w:val="41AC1290"/>
    <w:rsid w:val="41C45B38"/>
    <w:rsid w:val="41C93F6C"/>
    <w:rsid w:val="41D5139D"/>
    <w:rsid w:val="41D75714"/>
    <w:rsid w:val="41DD3BC3"/>
    <w:rsid w:val="41EA2612"/>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AF6477"/>
    <w:rsid w:val="42B94BC1"/>
    <w:rsid w:val="42BC27D4"/>
    <w:rsid w:val="42BE4DAE"/>
    <w:rsid w:val="42BF61B0"/>
    <w:rsid w:val="42C30254"/>
    <w:rsid w:val="42C42A08"/>
    <w:rsid w:val="42D064B1"/>
    <w:rsid w:val="42D41F6D"/>
    <w:rsid w:val="42DE48A3"/>
    <w:rsid w:val="42E16058"/>
    <w:rsid w:val="42F17BF5"/>
    <w:rsid w:val="42F87EC9"/>
    <w:rsid w:val="42FA45BF"/>
    <w:rsid w:val="42FD0126"/>
    <w:rsid w:val="430E7E66"/>
    <w:rsid w:val="43296963"/>
    <w:rsid w:val="4332317A"/>
    <w:rsid w:val="433246A0"/>
    <w:rsid w:val="433F6B54"/>
    <w:rsid w:val="4346543A"/>
    <w:rsid w:val="43533E29"/>
    <w:rsid w:val="435B1259"/>
    <w:rsid w:val="436263D5"/>
    <w:rsid w:val="436355CC"/>
    <w:rsid w:val="437556C4"/>
    <w:rsid w:val="43874CD4"/>
    <w:rsid w:val="43943E38"/>
    <w:rsid w:val="439B699F"/>
    <w:rsid w:val="439D3E18"/>
    <w:rsid w:val="43AF2D32"/>
    <w:rsid w:val="43B13512"/>
    <w:rsid w:val="43B76E4F"/>
    <w:rsid w:val="43CF0206"/>
    <w:rsid w:val="43D07B4A"/>
    <w:rsid w:val="43D50BA1"/>
    <w:rsid w:val="43D85D6D"/>
    <w:rsid w:val="43EC6F1F"/>
    <w:rsid w:val="43FE44BA"/>
    <w:rsid w:val="43FE63A7"/>
    <w:rsid w:val="440D5045"/>
    <w:rsid w:val="440F6C97"/>
    <w:rsid w:val="441C0478"/>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3219E"/>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285CCC"/>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CD573F"/>
    <w:rsid w:val="47D511BD"/>
    <w:rsid w:val="4808150F"/>
    <w:rsid w:val="480F51A8"/>
    <w:rsid w:val="481604F9"/>
    <w:rsid w:val="481A006F"/>
    <w:rsid w:val="48256B1B"/>
    <w:rsid w:val="48282713"/>
    <w:rsid w:val="482A6E62"/>
    <w:rsid w:val="484417FA"/>
    <w:rsid w:val="48450ECE"/>
    <w:rsid w:val="484759CD"/>
    <w:rsid w:val="484B14EC"/>
    <w:rsid w:val="484E7B15"/>
    <w:rsid w:val="48602710"/>
    <w:rsid w:val="48713351"/>
    <w:rsid w:val="48802846"/>
    <w:rsid w:val="488260F9"/>
    <w:rsid w:val="48850157"/>
    <w:rsid w:val="48A71C34"/>
    <w:rsid w:val="48A736CF"/>
    <w:rsid w:val="48B116EA"/>
    <w:rsid w:val="48B74C7A"/>
    <w:rsid w:val="48BE32BF"/>
    <w:rsid w:val="48C354EC"/>
    <w:rsid w:val="48D11A88"/>
    <w:rsid w:val="48D429DD"/>
    <w:rsid w:val="48E01C77"/>
    <w:rsid w:val="48E22285"/>
    <w:rsid w:val="48E50D90"/>
    <w:rsid w:val="48EB0B49"/>
    <w:rsid w:val="48EB0D16"/>
    <w:rsid w:val="48F35598"/>
    <w:rsid w:val="48FA15CC"/>
    <w:rsid w:val="48FF0DD1"/>
    <w:rsid w:val="490F071A"/>
    <w:rsid w:val="491B63DF"/>
    <w:rsid w:val="491D63E9"/>
    <w:rsid w:val="491F5E4F"/>
    <w:rsid w:val="4932285C"/>
    <w:rsid w:val="49331971"/>
    <w:rsid w:val="49384E02"/>
    <w:rsid w:val="493E2F78"/>
    <w:rsid w:val="493F3A9E"/>
    <w:rsid w:val="495217DF"/>
    <w:rsid w:val="4958367A"/>
    <w:rsid w:val="4960425F"/>
    <w:rsid w:val="49867CF3"/>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492695"/>
    <w:rsid w:val="4A5A756D"/>
    <w:rsid w:val="4A623187"/>
    <w:rsid w:val="4A722B4C"/>
    <w:rsid w:val="4A785772"/>
    <w:rsid w:val="4A842E43"/>
    <w:rsid w:val="4A886D1D"/>
    <w:rsid w:val="4A89105B"/>
    <w:rsid w:val="4AA341CC"/>
    <w:rsid w:val="4AC13295"/>
    <w:rsid w:val="4AC31003"/>
    <w:rsid w:val="4AC40F4C"/>
    <w:rsid w:val="4AD25F33"/>
    <w:rsid w:val="4AD6364D"/>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9E57F0"/>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9C7C5D"/>
    <w:rsid w:val="4DAF14C5"/>
    <w:rsid w:val="4DB9067A"/>
    <w:rsid w:val="4DC605B6"/>
    <w:rsid w:val="4DD732D2"/>
    <w:rsid w:val="4DEC0985"/>
    <w:rsid w:val="4DF2730E"/>
    <w:rsid w:val="4E0538A3"/>
    <w:rsid w:val="4E0E6818"/>
    <w:rsid w:val="4E27683A"/>
    <w:rsid w:val="4E321D35"/>
    <w:rsid w:val="4E397241"/>
    <w:rsid w:val="4E3C1DE4"/>
    <w:rsid w:val="4E464E00"/>
    <w:rsid w:val="4E4C50A3"/>
    <w:rsid w:val="4E510698"/>
    <w:rsid w:val="4E576363"/>
    <w:rsid w:val="4E5D49B1"/>
    <w:rsid w:val="4E635567"/>
    <w:rsid w:val="4E674786"/>
    <w:rsid w:val="4E684B06"/>
    <w:rsid w:val="4E6D0F25"/>
    <w:rsid w:val="4E710F05"/>
    <w:rsid w:val="4E742982"/>
    <w:rsid w:val="4E7F1E8F"/>
    <w:rsid w:val="4E862481"/>
    <w:rsid w:val="4E93511F"/>
    <w:rsid w:val="4E9C0636"/>
    <w:rsid w:val="4E9D29FB"/>
    <w:rsid w:val="4EA30DB6"/>
    <w:rsid w:val="4EA7341F"/>
    <w:rsid w:val="4EB35A3D"/>
    <w:rsid w:val="4ECA150D"/>
    <w:rsid w:val="4ECD2AFD"/>
    <w:rsid w:val="4EDB58B2"/>
    <w:rsid w:val="4EE925CE"/>
    <w:rsid w:val="4EEB1A94"/>
    <w:rsid w:val="4EEF2E30"/>
    <w:rsid w:val="4EF24828"/>
    <w:rsid w:val="4EFE7F59"/>
    <w:rsid w:val="4F0557AF"/>
    <w:rsid w:val="4F1C0659"/>
    <w:rsid w:val="4F285975"/>
    <w:rsid w:val="4F2A7BF3"/>
    <w:rsid w:val="4F2C7A26"/>
    <w:rsid w:val="4F2E2624"/>
    <w:rsid w:val="4F4E1077"/>
    <w:rsid w:val="4F546156"/>
    <w:rsid w:val="4F844A99"/>
    <w:rsid w:val="4F94662C"/>
    <w:rsid w:val="4FAD4C37"/>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603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A6CA8"/>
    <w:rsid w:val="539F394B"/>
    <w:rsid w:val="53A20FFA"/>
    <w:rsid w:val="53A233E4"/>
    <w:rsid w:val="53A63AE8"/>
    <w:rsid w:val="53A94C48"/>
    <w:rsid w:val="53AA7BC7"/>
    <w:rsid w:val="53AE5EA5"/>
    <w:rsid w:val="53B00B1F"/>
    <w:rsid w:val="53B2409D"/>
    <w:rsid w:val="53B31E73"/>
    <w:rsid w:val="53B96EA1"/>
    <w:rsid w:val="53BF4252"/>
    <w:rsid w:val="53D5647F"/>
    <w:rsid w:val="53D6247A"/>
    <w:rsid w:val="53DB3477"/>
    <w:rsid w:val="53DE00FF"/>
    <w:rsid w:val="53E656AF"/>
    <w:rsid w:val="53E77CBF"/>
    <w:rsid w:val="53FE7128"/>
    <w:rsid w:val="54201800"/>
    <w:rsid w:val="5422369D"/>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2C0DD1"/>
    <w:rsid w:val="55314F13"/>
    <w:rsid w:val="5532385A"/>
    <w:rsid w:val="55381D42"/>
    <w:rsid w:val="55401B14"/>
    <w:rsid w:val="554748F2"/>
    <w:rsid w:val="55496F40"/>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685346"/>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52DF8"/>
    <w:rsid w:val="57D82354"/>
    <w:rsid w:val="57FC07D9"/>
    <w:rsid w:val="57FF6992"/>
    <w:rsid w:val="58095C15"/>
    <w:rsid w:val="580F1B21"/>
    <w:rsid w:val="581B7E79"/>
    <w:rsid w:val="58420FA1"/>
    <w:rsid w:val="58500F22"/>
    <w:rsid w:val="58587379"/>
    <w:rsid w:val="585D72B5"/>
    <w:rsid w:val="586D3031"/>
    <w:rsid w:val="586D57A3"/>
    <w:rsid w:val="587917A0"/>
    <w:rsid w:val="587A4288"/>
    <w:rsid w:val="5880052B"/>
    <w:rsid w:val="588E3967"/>
    <w:rsid w:val="58AD27D9"/>
    <w:rsid w:val="58B169A2"/>
    <w:rsid w:val="58B9636C"/>
    <w:rsid w:val="58C37133"/>
    <w:rsid w:val="58C93046"/>
    <w:rsid w:val="58D36BCB"/>
    <w:rsid w:val="58D5349E"/>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6656F"/>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46D00"/>
    <w:rsid w:val="5C8542A8"/>
    <w:rsid w:val="5CA6294E"/>
    <w:rsid w:val="5CCC6AE2"/>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440B2B"/>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0E09EF"/>
    <w:rsid w:val="5E1A20EF"/>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35082"/>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9622A"/>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0EC78D9"/>
    <w:rsid w:val="60EF547C"/>
    <w:rsid w:val="61110088"/>
    <w:rsid w:val="611647A0"/>
    <w:rsid w:val="61421EFD"/>
    <w:rsid w:val="614F6F7E"/>
    <w:rsid w:val="615B6C2F"/>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0BA2"/>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E9075A"/>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4402E"/>
    <w:rsid w:val="64C61AF8"/>
    <w:rsid w:val="64C86505"/>
    <w:rsid w:val="64FB4412"/>
    <w:rsid w:val="64FE700F"/>
    <w:rsid w:val="6500327F"/>
    <w:rsid w:val="6506609B"/>
    <w:rsid w:val="65083216"/>
    <w:rsid w:val="650A57D3"/>
    <w:rsid w:val="65460728"/>
    <w:rsid w:val="654835A8"/>
    <w:rsid w:val="65822810"/>
    <w:rsid w:val="65870C45"/>
    <w:rsid w:val="65874984"/>
    <w:rsid w:val="659705FF"/>
    <w:rsid w:val="65AA6346"/>
    <w:rsid w:val="65B01B69"/>
    <w:rsid w:val="65B56C47"/>
    <w:rsid w:val="65B7794D"/>
    <w:rsid w:val="65B8262E"/>
    <w:rsid w:val="65BC15EE"/>
    <w:rsid w:val="65D23D59"/>
    <w:rsid w:val="65D4773F"/>
    <w:rsid w:val="65DC5939"/>
    <w:rsid w:val="65DC7985"/>
    <w:rsid w:val="65EF7ACC"/>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13324"/>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6F53F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81387"/>
    <w:rsid w:val="692E74C3"/>
    <w:rsid w:val="69307671"/>
    <w:rsid w:val="69310ECA"/>
    <w:rsid w:val="695D6B21"/>
    <w:rsid w:val="696052B6"/>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1F6519"/>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D1707A"/>
    <w:rsid w:val="6BE727F5"/>
    <w:rsid w:val="6C001608"/>
    <w:rsid w:val="6C0858B3"/>
    <w:rsid w:val="6C132D21"/>
    <w:rsid w:val="6C240DF3"/>
    <w:rsid w:val="6C45610F"/>
    <w:rsid w:val="6C59472D"/>
    <w:rsid w:val="6C5A4564"/>
    <w:rsid w:val="6C603744"/>
    <w:rsid w:val="6C635845"/>
    <w:rsid w:val="6C637CCF"/>
    <w:rsid w:val="6C7802EB"/>
    <w:rsid w:val="6C89456C"/>
    <w:rsid w:val="6C9143CB"/>
    <w:rsid w:val="6C9F6C41"/>
    <w:rsid w:val="6CA20D5B"/>
    <w:rsid w:val="6CA359FC"/>
    <w:rsid w:val="6CAF7564"/>
    <w:rsid w:val="6CB71894"/>
    <w:rsid w:val="6CB91201"/>
    <w:rsid w:val="6CC13ACE"/>
    <w:rsid w:val="6CD63FB3"/>
    <w:rsid w:val="6CD73CDB"/>
    <w:rsid w:val="6CD91323"/>
    <w:rsid w:val="6CFE035F"/>
    <w:rsid w:val="6CFF707B"/>
    <w:rsid w:val="6D002995"/>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2B310D"/>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896C18"/>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C7476"/>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81985"/>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35007C"/>
    <w:rsid w:val="72495DE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36C40"/>
    <w:rsid w:val="754723D0"/>
    <w:rsid w:val="756F29D2"/>
    <w:rsid w:val="75752B04"/>
    <w:rsid w:val="758910BB"/>
    <w:rsid w:val="75920C70"/>
    <w:rsid w:val="75955DA9"/>
    <w:rsid w:val="759601E2"/>
    <w:rsid w:val="75977910"/>
    <w:rsid w:val="759F2A35"/>
    <w:rsid w:val="75AA7351"/>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551644"/>
    <w:rsid w:val="765D4E19"/>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4A20C5"/>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DB24C4"/>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40CDD"/>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283816"/>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81275"/>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5C45A3"/>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B5962"/>
    <w:rsid w:val="7F0C2035"/>
    <w:rsid w:val="7F0F0FAF"/>
    <w:rsid w:val="7F0F7992"/>
    <w:rsid w:val="7F1B0865"/>
    <w:rsid w:val="7F271AA3"/>
    <w:rsid w:val="7F354370"/>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2023-09-27T09:05:42Z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74273EB00C134B95AA6191D3803040EC</vt:lpwstr>
  </property>
</Properties>
</file>